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533F5D" w14:paraId="6AABBA74" w14:textId="77777777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FBC23D" w14:textId="77777777" w:rsidR="00533F5D" w:rsidRDefault="00533F5D" w:rsidP="00533F5D">
            <w:pPr>
              <w:pStyle w:val="Header"/>
              <w:rPr>
                <w:rFonts w:ascii="Verdana" w:hAnsi="Verdana"/>
                <w:sz w:val="22"/>
              </w:rPr>
            </w:pPr>
            <w:r>
              <w:t>PGRR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16576EB6" w14:textId="178D5376" w:rsidR="00533F5D" w:rsidRDefault="00533F5D" w:rsidP="00533F5D">
            <w:pPr>
              <w:pStyle w:val="Header"/>
            </w:pPr>
            <w:hyperlink r:id="rId7" w:history="1">
              <w:r w:rsidRPr="003D6716">
                <w:rPr>
                  <w:rStyle w:val="Hyperlink"/>
                </w:rPr>
                <w:t>134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33EF9B6" w14:textId="3C849D42" w:rsidR="00533F5D" w:rsidRDefault="00533F5D" w:rsidP="00533F5D">
            <w:pPr>
              <w:pStyle w:val="Header"/>
            </w:pPr>
            <w:r>
              <w:t>PGRR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11FE7A6F" w14:textId="5F4BEB34" w:rsidR="00533F5D" w:rsidRDefault="00533F5D" w:rsidP="00533F5D">
            <w:pPr>
              <w:pStyle w:val="Header"/>
            </w:pPr>
            <w:r w:rsidRPr="005F1D26">
              <w:t>Interconnection Studies Reform for Dispatchable Loads</w:t>
            </w:r>
          </w:p>
        </w:tc>
      </w:tr>
    </w:tbl>
    <w:p w14:paraId="46EDA49B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334DED7F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0AD18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2F1" w14:textId="23985895" w:rsidR="00152993" w:rsidRDefault="00533F5D">
            <w:pPr>
              <w:pStyle w:val="NormalArial"/>
            </w:pPr>
            <w:r>
              <w:t>November 4, 2025</w:t>
            </w:r>
          </w:p>
        </w:tc>
      </w:tr>
    </w:tbl>
    <w:p w14:paraId="508C6613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44E9DE27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534C803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533F5D" w14:paraId="13A3B69C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5AFC4772" w14:textId="77777777" w:rsidR="00533F5D" w:rsidRPr="00EC55B3" w:rsidRDefault="00533F5D" w:rsidP="00533F5D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1B4DD2FB" w14:textId="08858BA8" w:rsidR="00533F5D" w:rsidRDefault="00533F5D" w:rsidP="00533F5D">
            <w:pPr>
              <w:pStyle w:val="NormalArial"/>
            </w:pPr>
            <w:r>
              <w:t>Arushi Sharma Frank</w:t>
            </w:r>
          </w:p>
        </w:tc>
      </w:tr>
      <w:tr w:rsidR="00533F5D" w14:paraId="3CAF2489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0AA146D5" w14:textId="77777777" w:rsidR="00533F5D" w:rsidRPr="00EC55B3" w:rsidRDefault="00533F5D" w:rsidP="00533F5D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682709C8" w14:textId="156AC697" w:rsidR="00533F5D" w:rsidRDefault="00533F5D" w:rsidP="00533F5D">
            <w:pPr>
              <w:pStyle w:val="NormalArial"/>
            </w:pPr>
            <w:hyperlink r:id="rId8" w:history="1">
              <w:r w:rsidRPr="00DA00E3">
                <w:rPr>
                  <w:rStyle w:val="Hyperlink"/>
                </w:rPr>
                <w:t>arushisharmafrank@live.com</w:t>
              </w:r>
            </w:hyperlink>
          </w:p>
        </w:tc>
      </w:tr>
      <w:tr w:rsidR="00533F5D" w14:paraId="366CF896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26195E4F" w14:textId="77777777" w:rsidR="00533F5D" w:rsidRPr="00EC55B3" w:rsidRDefault="00533F5D" w:rsidP="00533F5D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5F7F6C5C" w14:textId="15E037BE" w:rsidR="00533F5D" w:rsidRDefault="00533F5D" w:rsidP="00533F5D">
            <w:pPr>
              <w:pStyle w:val="NormalArial"/>
            </w:pPr>
            <w:r>
              <w:t>Luminary Strategies, LLC</w:t>
            </w:r>
          </w:p>
        </w:tc>
      </w:tr>
      <w:tr w:rsidR="00533F5D" w14:paraId="77B4D471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89734E" w14:textId="77777777" w:rsidR="00533F5D" w:rsidRPr="00EC55B3" w:rsidRDefault="00533F5D" w:rsidP="00533F5D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D191E85" w14:textId="55C72866" w:rsidR="00533F5D" w:rsidRDefault="00533F5D" w:rsidP="00533F5D">
            <w:pPr>
              <w:pStyle w:val="NormalArial"/>
            </w:pPr>
            <w:r>
              <w:t>571.572.9037</w:t>
            </w:r>
          </w:p>
        </w:tc>
      </w:tr>
      <w:tr w:rsidR="00533F5D" w14:paraId="319FADB9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6F46E444" w14:textId="77777777" w:rsidR="00533F5D" w:rsidRPr="00EC55B3" w:rsidRDefault="00533F5D" w:rsidP="00533F5D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vAlign w:val="center"/>
          </w:tcPr>
          <w:p w14:paraId="0DAFF03B" w14:textId="77777777" w:rsidR="00533F5D" w:rsidRDefault="00533F5D" w:rsidP="00533F5D">
            <w:pPr>
              <w:pStyle w:val="NormalArial"/>
            </w:pPr>
          </w:p>
        </w:tc>
      </w:tr>
      <w:tr w:rsidR="00533F5D" w14:paraId="4DE5C677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5D86514" w14:textId="77777777" w:rsidR="00533F5D" w:rsidRPr="00EC55B3" w:rsidDel="00075A94" w:rsidRDefault="00533F5D" w:rsidP="00533F5D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9AA860E" w14:textId="5465A99E" w:rsidR="00533F5D" w:rsidRDefault="00533F5D" w:rsidP="00533F5D">
            <w:pPr>
              <w:pStyle w:val="NormalArial"/>
            </w:pPr>
            <w:r>
              <w:t>Not applicable</w:t>
            </w:r>
          </w:p>
        </w:tc>
      </w:tr>
    </w:tbl>
    <w:p w14:paraId="02FB94FB" w14:textId="77777777" w:rsidR="00152993" w:rsidRDefault="00152993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E25E67" w14:paraId="36EE1BC6" w14:textId="77777777" w:rsidTr="003C7F9E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745417C" w14:textId="1D18754E" w:rsidR="00E25E67" w:rsidRDefault="00E25E67" w:rsidP="003C7F9E">
            <w:pPr>
              <w:pStyle w:val="Header"/>
              <w:jc w:val="center"/>
            </w:pPr>
            <w:r>
              <w:t>Comments</w:t>
            </w:r>
          </w:p>
        </w:tc>
      </w:tr>
    </w:tbl>
    <w:p w14:paraId="5EC908E6" w14:textId="77777777" w:rsidR="00152993" w:rsidRDefault="00152993">
      <w:pPr>
        <w:pStyle w:val="NormalArial"/>
      </w:pPr>
    </w:p>
    <w:p w14:paraId="616757E3" w14:textId="77777777" w:rsidR="001B1329" w:rsidRDefault="001B1329" w:rsidP="001B1329">
      <w:pPr>
        <w:rPr>
          <w:rFonts w:ascii="Aptos" w:hAnsi="Aptos"/>
          <w:color w:val="000000"/>
        </w:rPr>
      </w:pPr>
      <w:r>
        <w:rPr>
          <w:rFonts w:ascii="Aptos" w:hAnsi="Aptos"/>
          <w:color w:val="000000"/>
        </w:rPr>
        <w:t> ROS members –</w:t>
      </w:r>
    </w:p>
    <w:p w14:paraId="54A394BA" w14:textId="77777777" w:rsidR="001B1329" w:rsidRDefault="001B1329" w:rsidP="001B1329">
      <w:pPr>
        <w:rPr>
          <w:rFonts w:ascii="Aptos" w:hAnsi="Aptos"/>
          <w:color w:val="000000"/>
        </w:rPr>
      </w:pPr>
      <w:r>
        <w:rPr>
          <w:rFonts w:ascii="Aptos" w:hAnsi="Aptos"/>
          <w:color w:val="000000"/>
        </w:rPr>
        <w:t> </w:t>
      </w:r>
    </w:p>
    <w:p w14:paraId="228D87AD" w14:textId="77777777" w:rsidR="001B1329" w:rsidRDefault="001B1329" w:rsidP="001B1329">
      <w:pPr>
        <w:rPr>
          <w:rFonts w:ascii="Aptos" w:hAnsi="Aptos"/>
          <w:color w:val="000000"/>
        </w:rPr>
      </w:pPr>
      <w:r>
        <w:rPr>
          <w:rFonts w:ascii="Aptos" w:hAnsi="Aptos"/>
          <w:color w:val="000000"/>
        </w:rPr>
        <w:t>Thank you for your interest in</w:t>
      </w:r>
      <w:r>
        <w:rPr>
          <w:rStyle w:val="apple-converted-space"/>
          <w:rFonts w:ascii="Aptos" w:hAnsi="Aptos"/>
          <w:color w:val="000000"/>
        </w:rPr>
        <w:t> </w:t>
      </w:r>
      <w:hyperlink r:id="rId9" w:history="1">
        <w:r>
          <w:rPr>
            <w:rStyle w:val="Hyperlink"/>
            <w:rFonts w:ascii="Aptos" w:hAnsi="Aptos"/>
          </w:rPr>
          <w:t>PGRR 134</w:t>
        </w:r>
      </w:hyperlink>
      <w:r>
        <w:rPr>
          <w:rFonts w:ascii="Aptos" w:hAnsi="Aptos"/>
          <w:color w:val="000000"/>
        </w:rPr>
        <w:t>.  At this time, the sponsor is not asking ROS to take action this week on urgency. </w:t>
      </w:r>
    </w:p>
    <w:p w14:paraId="2A9AC51A" w14:textId="77777777" w:rsidR="001B1329" w:rsidRDefault="001B1329" w:rsidP="001B1329">
      <w:pPr>
        <w:rPr>
          <w:rFonts w:ascii="Aptos" w:hAnsi="Aptos"/>
          <w:color w:val="000000"/>
        </w:rPr>
      </w:pPr>
    </w:p>
    <w:p w14:paraId="0E883457" w14:textId="77777777" w:rsidR="001B1329" w:rsidRDefault="001B1329" w:rsidP="001B1329">
      <w:pPr>
        <w:rPr>
          <w:rFonts w:ascii="Aptos" w:hAnsi="Aptos"/>
          <w:color w:val="000000"/>
        </w:rPr>
      </w:pPr>
      <w:r>
        <w:rPr>
          <w:rFonts w:ascii="Aptos" w:hAnsi="Aptos"/>
          <w:color w:val="000000"/>
        </w:rPr>
        <w:t xml:space="preserve">We are eager to move forward with this in December, however.  This proposal is already getting </w:t>
      </w:r>
      <w:hyperlink r:id="rId10" w:history="1">
        <w:r w:rsidRPr="001B1329">
          <w:rPr>
            <w:rStyle w:val="Hyperlink"/>
            <w:rFonts w:ascii="Aptos" w:hAnsi="Aptos"/>
          </w:rPr>
          <w:t>national attention</w:t>
        </w:r>
      </w:hyperlink>
      <w:r>
        <w:rPr>
          <w:rFonts w:ascii="Aptos" w:hAnsi="Aptos"/>
          <w:color w:val="000000"/>
        </w:rPr>
        <w:t>, it will be submitted as an example of load growth solutions in mid-November  comments to the White House OSTP, DOE, and FERC , and for all the</w:t>
      </w:r>
      <w:r>
        <w:rPr>
          <w:rStyle w:val="apple-converted-space"/>
          <w:rFonts w:ascii="Aptos" w:hAnsi="Aptos"/>
          <w:color w:val="000000"/>
        </w:rPr>
        <w:t> </w:t>
      </w:r>
      <w:r>
        <w:rPr>
          <w:rFonts w:ascii="Aptos" w:hAnsi="Aptos"/>
          <w:color w:val="000000"/>
        </w:rPr>
        <w:t xml:space="preserve">right reasons, marries coming operational solutions via NPRR1188 to a planning paradigm can bring relief to regional load interconnection </w:t>
      </w:r>
      <w:r w:rsidR="004F6752">
        <w:rPr>
          <w:rFonts w:ascii="Aptos" w:hAnsi="Aptos"/>
          <w:color w:val="000000"/>
        </w:rPr>
        <w:t>delays</w:t>
      </w:r>
      <w:r>
        <w:rPr>
          <w:rFonts w:ascii="Aptos" w:hAnsi="Aptos"/>
          <w:color w:val="000000"/>
        </w:rPr>
        <w:t xml:space="preserve"> in ERCOT.  </w:t>
      </w:r>
    </w:p>
    <w:p w14:paraId="1A4CA26F" w14:textId="77777777" w:rsidR="001B1329" w:rsidRDefault="001B1329" w:rsidP="001B1329">
      <w:pPr>
        <w:rPr>
          <w:rFonts w:ascii="Aptos" w:hAnsi="Aptos"/>
          <w:color w:val="000000"/>
        </w:rPr>
      </w:pPr>
    </w:p>
    <w:p w14:paraId="090031FA" w14:textId="5A805858" w:rsidR="001B1329" w:rsidRDefault="001B1329" w:rsidP="001B1329">
      <w:pPr>
        <w:rPr>
          <w:rFonts w:ascii="Aptos" w:hAnsi="Aptos"/>
          <w:color w:val="000000"/>
        </w:rPr>
      </w:pPr>
      <w:r>
        <w:rPr>
          <w:rFonts w:ascii="Aptos" w:hAnsi="Aptos"/>
          <w:color w:val="000000"/>
        </w:rPr>
        <w:t>For decades, ERCOT and its stakeholders have worked to incentivize market-based demand response. Using CLRs as a planning tool will unlock gigawatts of new demand response, curb out-of-market solutions for load growth management, fundamentally improve the</w:t>
      </w:r>
      <w:r>
        <w:rPr>
          <w:rStyle w:val="apple-converted-space"/>
          <w:rFonts w:ascii="Aptos" w:hAnsi="Aptos"/>
          <w:color w:val="000000"/>
        </w:rPr>
        <w:t> </w:t>
      </w:r>
      <w:r>
        <w:rPr>
          <w:rFonts w:ascii="Aptos" w:hAnsi="Aptos"/>
          <w:color w:val="000000"/>
        </w:rPr>
        <w:t>market outcomes while enabling substantial new economic development and keep Texas at the forefront of new electric demand.</w:t>
      </w:r>
    </w:p>
    <w:p w14:paraId="6789F964" w14:textId="77777777" w:rsidR="001B1329" w:rsidRDefault="001B1329" w:rsidP="001B1329">
      <w:pPr>
        <w:rPr>
          <w:rFonts w:ascii="Aptos" w:hAnsi="Aptos"/>
          <w:color w:val="000000"/>
        </w:rPr>
      </w:pPr>
    </w:p>
    <w:p w14:paraId="33316CA9" w14:textId="5F860042" w:rsidR="001B1329" w:rsidRDefault="001B1329" w:rsidP="001B1329">
      <w:pPr>
        <w:rPr>
          <w:rFonts w:ascii="Aptos" w:hAnsi="Aptos"/>
          <w:color w:val="000000"/>
        </w:rPr>
      </w:pPr>
      <w:r>
        <w:rPr>
          <w:rFonts w:ascii="Aptos" w:hAnsi="Aptos"/>
          <w:color w:val="000000"/>
        </w:rPr>
        <w:t>We ask that ROS allow for discussion of the topic at this Thursday's meeting and that the procedural order allow for the discussion to occur - to hear from multiple parties who have supported and shaped PGRR134. The supporting parties themselves, shape what</w:t>
      </w:r>
      <w:r>
        <w:rPr>
          <w:rStyle w:val="apple-converted-space"/>
          <w:rFonts w:ascii="Aptos" w:hAnsi="Aptos"/>
          <w:color w:val="000000"/>
        </w:rPr>
        <w:t> </w:t>
      </w:r>
      <w:r>
        <w:rPr>
          <w:rFonts w:ascii="Aptos" w:hAnsi="Aptos"/>
          <w:color w:val="000000"/>
        </w:rPr>
        <w:t>is easily one of the nationally widest and sectorally diverse groups  to ever coalesce around a critical markets and reliability-centric policy change in ERCOT.</w:t>
      </w:r>
    </w:p>
    <w:p w14:paraId="0A22687D" w14:textId="77777777" w:rsidR="001B1329" w:rsidRDefault="001B1329" w:rsidP="001B1329">
      <w:pPr>
        <w:rPr>
          <w:rFonts w:ascii="Aptos" w:hAnsi="Aptos"/>
          <w:color w:val="000000"/>
        </w:rPr>
      </w:pPr>
    </w:p>
    <w:p w14:paraId="650F35C3" w14:textId="77777777" w:rsidR="001B1329" w:rsidRDefault="001B1329" w:rsidP="001B1329">
      <w:pPr>
        <w:rPr>
          <w:rFonts w:ascii="Aptos" w:hAnsi="Aptos"/>
          <w:color w:val="000000"/>
        </w:rPr>
      </w:pPr>
      <w:r>
        <w:rPr>
          <w:rFonts w:ascii="Aptos" w:hAnsi="Aptos"/>
          <w:color w:val="000000"/>
        </w:rPr>
        <w:t>Understanding the PLWG meeting is next week, we would support referral to PLWG and request that interested parties file proposed redlines</w:t>
      </w:r>
      <w:r>
        <w:rPr>
          <w:rStyle w:val="apple-converted-space"/>
          <w:rFonts w:ascii="Aptos" w:hAnsi="Aptos"/>
          <w:color w:val="000000"/>
        </w:rPr>
        <w:t> </w:t>
      </w:r>
      <w:r>
        <w:rPr>
          <w:rFonts w:ascii="Aptos" w:hAnsi="Aptos"/>
          <w:i/>
          <w:iCs/>
          <w:color w:val="000000"/>
        </w:rPr>
        <w:t xml:space="preserve">in advance of that meeting to the best </w:t>
      </w:r>
      <w:r>
        <w:rPr>
          <w:rFonts w:ascii="Aptos" w:hAnsi="Aptos"/>
          <w:i/>
          <w:iCs/>
          <w:color w:val="000000"/>
        </w:rPr>
        <w:lastRenderedPageBreak/>
        <w:t>of their abilities</w:t>
      </w:r>
      <w:r>
        <w:rPr>
          <w:rFonts w:ascii="Aptos" w:hAnsi="Aptos"/>
          <w:color w:val="000000"/>
        </w:rPr>
        <w:t>, so we can come back for a vote in December at ROS to move this forward through the ERCOT stakeholder process.</w:t>
      </w:r>
    </w:p>
    <w:p w14:paraId="138E5614" w14:textId="77777777" w:rsidR="001B1329" w:rsidRDefault="001B1329" w:rsidP="001B1329">
      <w:pPr>
        <w:rPr>
          <w:rFonts w:ascii="Aptos" w:hAnsi="Aptos"/>
          <w:color w:val="000000"/>
        </w:rPr>
      </w:pPr>
    </w:p>
    <w:p w14:paraId="568907BE" w14:textId="77777777" w:rsidR="001B1329" w:rsidRDefault="001B1329" w:rsidP="001B1329">
      <w:pPr>
        <w:rPr>
          <w:rFonts w:ascii="Aptos" w:hAnsi="Aptos"/>
          <w:color w:val="000000"/>
        </w:rPr>
      </w:pPr>
      <w:r>
        <w:rPr>
          <w:rFonts w:ascii="Aptos" w:hAnsi="Aptos"/>
          <w:color w:val="000000"/>
        </w:rPr>
        <w:t>Please see also:</w:t>
      </w:r>
    </w:p>
    <w:p w14:paraId="61FAF2FE" w14:textId="77777777" w:rsidR="001B1329" w:rsidRDefault="001B1329" w:rsidP="001B1329">
      <w:pPr>
        <w:rPr>
          <w:rFonts w:ascii="Aptos" w:hAnsi="Aptos"/>
          <w:color w:val="000000"/>
        </w:rPr>
      </w:pPr>
      <w:r>
        <w:rPr>
          <w:rFonts w:ascii="Aptos" w:hAnsi="Aptos"/>
          <w:color w:val="000000"/>
        </w:rPr>
        <w:t>Comments filed in relation to the PGRR:</w:t>
      </w:r>
    </w:p>
    <w:p w14:paraId="7348D47C" w14:textId="77777777" w:rsidR="001B1329" w:rsidRDefault="001B1329" w:rsidP="001B1329">
      <w:pPr>
        <w:rPr>
          <w:rFonts w:ascii="Aptos" w:hAnsi="Aptos"/>
          <w:color w:val="000000"/>
        </w:rPr>
      </w:pPr>
      <w:hyperlink r:id="rId11" w:history="1">
        <w:r>
          <w:rPr>
            <w:rStyle w:val="Hyperlink"/>
            <w:rFonts w:ascii="Aptos" w:hAnsi="Aptos"/>
          </w:rPr>
          <w:t>https://www.ercot.com/files/docs/2025/11/03/134PGRR-03-Agentic-Infrastructure-Comments-110325.docx</w:t>
        </w:r>
      </w:hyperlink>
      <w:r>
        <w:rPr>
          <w:rFonts w:ascii="Aptos" w:hAnsi="Aptos"/>
          <w:color w:val="000000"/>
        </w:rPr>
        <w:t> </w:t>
      </w:r>
    </w:p>
    <w:p w14:paraId="4C0C8D8F" w14:textId="77777777" w:rsidR="001B1329" w:rsidRDefault="001B1329" w:rsidP="001B1329">
      <w:pPr>
        <w:rPr>
          <w:rFonts w:ascii="Aptos" w:hAnsi="Aptos"/>
          <w:color w:val="000000"/>
        </w:rPr>
      </w:pPr>
      <w:hyperlink r:id="rId12" w:history="1">
        <w:r>
          <w:rPr>
            <w:rStyle w:val="Hyperlink"/>
            <w:rFonts w:ascii="Aptos" w:hAnsi="Aptos"/>
          </w:rPr>
          <w:t>https://www.ercot.com/files/docs/2025/11/03/134PGRR-04-Schaper-Energy-Consulting-Comments-110325.docx</w:t>
        </w:r>
      </w:hyperlink>
      <w:r>
        <w:rPr>
          <w:rFonts w:ascii="Aptos" w:hAnsi="Aptos"/>
          <w:color w:val="000000"/>
        </w:rPr>
        <w:t> </w:t>
      </w:r>
    </w:p>
    <w:p w14:paraId="189F922D" w14:textId="77777777" w:rsidR="001B1329" w:rsidRDefault="001B1329" w:rsidP="001B1329">
      <w:pPr>
        <w:rPr>
          <w:rFonts w:ascii="Aptos" w:hAnsi="Aptos"/>
          <w:color w:val="000000"/>
        </w:rPr>
      </w:pPr>
    </w:p>
    <w:p w14:paraId="3CB7790D" w14:textId="77777777" w:rsidR="001B1329" w:rsidRDefault="001B1329" w:rsidP="001B1329">
      <w:pPr>
        <w:rPr>
          <w:rFonts w:ascii="Aptos" w:hAnsi="Aptos"/>
          <w:color w:val="000000"/>
        </w:rPr>
      </w:pPr>
      <w:r>
        <w:rPr>
          <w:rFonts w:ascii="Aptos" w:hAnsi="Aptos"/>
          <w:color w:val="000000"/>
        </w:rPr>
        <w:t>Prior LLWG Comments:</w:t>
      </w:r>
      <w:r>
        <w:rPr>
          <w:rStyle w:val="apple-converted-space"/>
          <w:rFonts w:ascii="Aptos" w:hAnsi="Aptos"/>
          <w:color w:val="000000"/>
        </w:rPr>
        <w:t> </w:t>
      </w:r>
      <w:hyperlink r:id="rId13" w:history="1">
        <w:r>
          <w:rPr>
            <w:rStyle w:val="Hyperlink"/>
            <w:rFonts w:ascii="Aptos" w:hAnsi="Aptos"/>
          </w:rPr>
          <w:t>https://www.ercot.com/files/docs/2025/09/19/PGRR-Explanatory-Comments_LLWG-Meeting_Sept.-19-2025.docx</w:t>
        </w:r>
      </w:hyperlink>
      <w:r>
        <w:rPr>
          <w:rFonts w:ascii="Aptos" w:hAnsi="Aptos"/>
          <w:color w:val="000000"/>
        </w:rPr>
        <w:t> </w:t>
      </w:r>
    </w:p>
    <w:p w14:paraId="3B932A4F" w14:textId="77777777" w:rsidR="00FF5E88" w:rsidRDefault="00FF5E88" w:rsidP="00FF5E88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F5E88" w14:paraId="5CF8CA22" w14:textId="77777777" w:rsidTr="0036679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7CADFCF" w14:textId="77777777" w:rsidR="00FF5E88" w:rsidRDefault="00FF5E88" w:rsidP="00366799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41C7851D" w14:textId="5BA6E07B" w:rsidR="00152993" w:rsidRDefault="00E25E67" w:rsidP="00E25E67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2B23481D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4A8028" w14:textId="77777777" w:rsidR="00152993" w:rsidRDefault="00152993">
            <w:pPr>
              <w:pStyle w:val="Header"/>
              <w:jc w:val="center"/>
            </w:pPr>
            <w:r>
              <w:t xml:space="preserve">Revised Proposed </w:t>
            </w:r>
            <w:r w:rsidR="00C158EE">
              <w:t xml:space="preserve">Guide </w:t>
            </w:r>
            <w:r>
              <w:t>Language</w:t>
            </w:r>
          </w:p>
        </w:tc>
      </w:tr>
    </w:tbl>
    <w:p w14:paraId="49853174" w14:textId="11AABA42" w:rsidR="00152993" w:rsidRDefault="00E25E67" w:rsidP="00E25E67">
      <w:pPr>
        <w:pStyle w:val="NormalArial"/>
        <w:spacing w:before="120" w:after="120"/>
      </w:pPr>
      <w:r>
        <w:t>None</w:t>
      </w:r>
    </w:p>
    <w:sectPr w:rsidR="00152993" w:rsidSect="0074209E">
      <w:headerReference w:type="default" r:id="rId14"/>
      <w:footerReference w:type="default" r:id="rId15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D8FE7" w14:textId="77777777" w:rsidR="00224010" w:rsidRDefault="00224010">
      <w:r>
        <w:separator/>
      </w:r>
    </w:p>
  </w:endnote>
  <w:endnote w:type="continuationSeparator" w:id="0">
    <w:p w14:paraId="39E0681B" w14:textId="77777777" w:rsidR="00224010" w:rsidRDefault="00224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11A34" w14:textId="25A96D07" w:rsidR="003D0994" w:rsidRDefault="00E25E67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134</w:t>
    </w:r>
    <w:r w:rsidR="00170E84">
      <w:rPr>
        <w:rFonts w:ascii="Arial" w:hAnsi="Arial"/>
        <w:sz w:val="18"/>
      </w:rPr>
      <w:t>P</w:t>
    </w:r>
    <w:r w:rsidR="00C158EE">
      <w:rPr>
        <w:rFonts w:ascii="Arial" w:hAnsi="Arial"/>
        <w:sz w:val="18"/>
      </w:rPr>
      <w:t>GRR</w:t>
    </w:r>
    <w:r>
      <w:rPr>
        <w:rFonts w:ascii="Arial" w:hAnsi="Arial"/>
        <w:sz w:val="18"/>
      </w:rPr>
      <w:t>-05 Luminary Strategies</w:t>
    </w:r>
    <w:r w:rsidR="00C158EE">
      <w:rPr>
        <w:rFonts w:ascii="Arial" w:hAnsi="Arial"/>
        <w:sz w:val="18"/>
      </w:rPr>
      <w:t xml:space="preserve"> </w:t>
    </w:r>
    <w:r>
      <w:rPr>
        <w:rFonts w:ascii="Arial" w:hAnsi="Arial"/>
        <w:sz w:val="18"/>
      </w:rPr>
      <w:t>C</w:t>
    </w:r>
    <w:r w:rsidR="007269C4">
      <w:rPr>
        <w:rFonts w:ascii="Arial" w:hAnsi="Arial"/>
        <w:sz w:val="18"/>
      </w:rPr>
      <w:t>omment</w:t>
    </w:r>
    <w:r>
      <w:rPr>
        <w:rFonts w:ascii="Arial" w:hAnsi="Arial"/>
        <w:sz w:val="18"/>
      </w:rPr>
      <w:t>s 110425</w:t>
    </w:r>
    <w:r w:rsidR="007269C4">
      <w:rPr>
        <w:rFonts w:ascii="Arial" w:hAnsi="Arial"/>
        <w:sz w:val="18"/>
      </w:rPr>
      <w:t xml:space="preserve"> </w:t>
    </w:r>
    <w:r w:rsidR="003D0994">
      <w:rPr>
        <w:rFonts w:ascii="Arial" w:hAnsi="Arial"/>
        <w:sz w:val="18"/>
      </w:rPr>
      <w:tab/>
      <w:t xml:space="preserve">Page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PAGE </w:instrText>
    </w:r>
    <w:r w:rsidR="003D0994">
      <w:rPr>
        <w:rFonts w:ascii="Arial" w:hAnsi="Arial"/>
        <w:sz w:val="18"/>
      </w:rPr>
      <w:fldChar w:fldCharType="separate"/>
    </w:r>
    <w:r w:rsidR="00823E4A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  <w:r w:rsidR="003D0994">
      <w:rPr>
        <w:rFonts w:ascii="Arial" w:hAnsi="Arial"/>
        <w:sz w:val="18"/>
      </w:rPr>
      <w:t xml:space="preserve"> of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NUMPAGES </w:instrText>
    </w:r>
    <w:r w:rsidR="003D0994">
      <w:rPr>
        <w:rFonts w:ascii="Arial" w:hAnsi="Arial"/>
        <w:sz w:val="18"/>
      </w:rPr>
      <w:fldChar w:fldCharType="separate"/>
    </w:r>
    <w:r w:rsidR="00823E4A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</w:p>
  <w:p w14:paraId="4D26EEF1" w14:textId="77777777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DD242" w14:textId="77777777" w:rsidR="00224010" w:rsidRDefault="00224010">
      <w:r>
        <w:separator/>
      </w:r>
    </w:p>
  </w:footnote>
  <w:footnote w:type="continuationSeparator" w:id="0">
    <w:p w14:paraId="125229E3" w14:textId="77777777" w:rsidR="00224010" w:rsidRDefault="00224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319FB" w14:textId="77777777" w:rsidR="003D0994" w:rsidRDefault="00170E84">
    <w:pPr>
      <w:pStyle w:val="Header"/>
      <w:jc w:val="center"/>
      <w:rPr>
        <w:sz w:val="32"/>
      </w:rPr>
    </w:pPr>
    <w:r>
      <w:rPr>
        <w:sz w:val="32"/>
      </w:rPr>
      <w:t>P</w:t>
    </w:r>
    <w:r w:rsidR="00C158EE">
      <w:rPr>
        <w:sz w:val="32"/>
      </w:rPr>
      <w:t xml:space="preserve">GRR </w:t>
    </w:r>
    <w:r w:rsidR="003D0994">
      <w:rPr>
        <w:sz w:val="32"/>
      </w:rPr>
      <w:t>Comments</w:t>
    </w:r>
  </w:p>
  <w:p w14:paraId="5738770B" w14:textId="77777777" w:rsidR="003D0994" w:rsidRDefault="003D09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74673662">
    <w:abstractNumId w:val="0"/>
  </w:num>
  <w:num w:numId="2" w16cid:durableId="1645900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2122"/>
    <w:rsid w:val="00037668"/>
    <w:rsid w:val="00075A94"/>
    <w:rsid w:val="00132855"/>
    <w:rsid w:val="00152993"/>
    <w:rsid w:val="00170297"/>
    <w:rsid w:val="00170E84"/>
    <w:rsid w:val="001A227D"/>
    <w:rsid w:val="001B1329"/>
    <w:rsid w:val="001E2032"/>
    <w:rsid w:val="00224010"/>
    <w:rsid w:val="00237F13"/>
    <w:rsid w:val="002771E6"/>
    <w:rsid w:val="003010C0"/>
    <w:rsid w:val="00332A97"/>
    <w:rsid w:val="00350C00"/>
    <w:rsid w:val="00366113"/>
    <w:rsid w:val="00366799"/>
    <w:rsid w:val="003C270C"/>
    <w:rsid w:val="003C405A"/>
    <w:rsid w:val="003D0994"/>
    <w:rsid w:val="003E7D74"/>
    <w:rsid w:val="00423824"/>
    <w:rsid w:val="0043567D"/>
    <w:rsid w:val="004B7B90"/>
    <w:rsid w:val="004E2C19"/>
    <w:rsid w:val="004F6752"/>
    <w:rsid w:val="00533F5D"/>
    <w:rsid w:val="005D284C"/>
    <w:rsid w:val="00633E23"/>
    <w:rsid w:val="00673B94"/>
    <w:rsid w:val="00680AC6"/>
    <w:rsid w:val="006835D8"/>
    <w:rsid w:val="006C316E"/>
    <w:rsid w:val="006D0F7C"/>
    <w:rsid w:val="007269C4"/>
    <w:rsid w:val="00734EAF"/>
    <w:rsid w:val="0074209E"/>
    <w:rsid w:val="007F2CA8"/>
    <w:rsid w:val="007F7161"/>
    <w:rsid w:val="00823E4A"/>
    <w:rsid w:val="0085559E"/>
    <w:rsid w:val="00896B1B"/>
    <w:rsid w:val="008E559E"/>
    <w:rsid w:val="00916080"/>
    <w:rsid w:val="00921A68"/>
    <w:rsid w:val="00960706"/>
    <w:rsid w:val="00A015C4"/>
    <w:rsid w:val="00A15172"/>
    <w:rsid w:val="00B845F9"/>
    <w:rsid w:val="00BC6DAD"/>
    <w:rsid w:val="00C0598D"/>
    <w:rsid w:val="00C11956"/>
    <w:rsid w:val="00C158EE"/>
    <w:rsid w:val="00C602E5"/>
    <w:rsid w:val="00C748FD"/>
    <w:rsid w:val="00D24DCF"/>
    <w:rsid w:val="00D4046E"/>
    <w:rsid w:val="00DD4739"/>
    <w:rsid w:val="00DE5F33"/>
    <w:rsid w:val="00E07B54"/>
    <w:rsid w:val="00E11F78"/>
    <w:rsid w:val="00E25E67"/>
    <w:rsid w:val="00E621E1"/>
    <w:rsid w:val="00EC55B3"/>
    <w:rsid w:val="00F038EC"/>
    <w:rsid w:val="00F96FB2"/>
    <w:rsid w:val="00FB51D8"/>
    <w:rsid w:val="00FD08E8"/>
    <w:rsid w:val="00FE5B3D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54A4616E"/>
  <w15:chartTrackingRefBased/>
  <w15:docId w15:val="{3DF9C8F5-29E4-476E-97ED-369D42707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pPr>
      <w:tabs>
        <w:tab w:val="center" w:pos="4536"/>
      </w:tabs>
    </w:pPr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apple-converted-space">
    <w:name w:val="apple-converted-space"/>
    <w:basedOn w:val="DefaultParagraphFont"/>
    <w:rsid w:val="001B1329"/>
  </w:style>
  <w:style w:type="character" w:styleId="UnresolvedMention">
    <w:name w:val="Unresolved Mention"/>
    <w:uiPriority w:val="99"/>
    <w:semiHidden/>
    <w:unhideWhenUsed/>
    <w:rsid w:val="001B13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ushisharmafrank@live.com" TargetMode="External"/><Relationship Id="rId13" Type="http://schemas.openxmlformats.org/officeDocument/2006/relationships/hyperlink" Target="https://www.ercot.com/files/docs/2025/09/19/PGRR-Explanatory-Comments_LLWG-Meeting_Sept.-19-2025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PGRR134" TargetMode="External"/><Relationship Id="rId12" Type="http://schemas.openxmlformats.org/officeDocument/2006/relationships/hyperlink" Target="https://www.ercot.com/files/docs/2025/11/03/134PGRR-04-Schaper-Energy-Consulting-Comments-110325.docx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rcot.com/files/docs/2025/11/03/134PGRR-03-Agentic-Infrastructure-Comments-110325.docx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heatmap.news/energy/texas-data-center-connect-and-manag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rcot.com/files/docs/2025/11/01/134PGRR-01-Interconnection-Studies-Reform-for-Dispatachable-Loads-110125.docx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331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3113</CharactersWithSpaces>
  <SharedDoc>false</SharedDoc>
  <HLinks>
    <vt:vector size="36" baseType="variant">
      <vt:variant>
        <vt:i4>6553725</vt:i4>
      </vt:variant>
      <vt:variant>
        <vt:i4>15</vt:i4>
      </vt:variant>
      <vt:variant>
        <vt:i4>0</vt:i4>
      </vt:variant>
      <vt:variant>
        <vt:i4>5</vt:i4>
      </vt:variant>
      <vt:variant>
        <vt:lpwstr>https://www.ercot.com/files/docs/2025/09/19/PGRR-Explanatory-Comments_LLWG-Meeting_Sept.-19-2025.docx</vt:lpwstr>
      </vt:variant>
      <vt:variant>
        <vt:lpwstr/>
      </vt:variant>
      <vt:variant>
        <vt:i4>131141</vt:i4>
      </vt:variant>
      <vt:variant>
        <vt:i4>12</vt:i4>
      </vt:variant>
      <vt:variant>
        <vt:i4>0</vt:i4>
      </vt:variant>
      <vt:variant>
        <vt:i4>5</vt:i4>
      </vt:variant>
      <vt:variant>
        <vt:lpwstr>https://www.ercot.com/files/docs/2025/11/03/134PGRR-04-Schaper-Energy-Consulting-Comments-110325.docx</vt:lpwstr>
      </vt:variant>
      <vt:variant>
        <vt:lpwstr/>
      </vt:variant>
      <vt:variant>
        <vt:i4>6815849</vt:i4>
      </vt:variant>
      <vt:variant>
        <vt:i4>9</vt:i4>
      </vt:variant>
      <vt:variant>
        <vt:i4>0</vt:i4>
      </vt:variant>
      <vt:variant>
        <vt:i4>5</vt:i4>
      </vt:variant>
      <vt:variant>
        <vt:lpwstr>https://www.ercot.com/files/docs/2025/11/03/134PGRR-03-Agentic-Infrastructure-Comments-110325.docx</vt:lpwstr>
      </vt:variant>
      <vt:variant>
        <vt:lpwstr/>
      </vt:variant>
      <vt:variant>
        <vt:i4>1310811</vt:i4>
      </vt:variant>
      <vt:variant>
        <vt:i4>6</vt:i4>
      </vt:variant>
      <vt:variant>
        <vt:i4>0</vt:i4>
      </vt:variant>
      <vt:variant>
        <vt:i4>5</vt:i4>
      </vt:variant>
      <vt:variant>
        <vt:lpwstr>https://heatmap.news/energy/texas-data-center-connect-and-manage</vt:lpwstr>
      </vt:variant>
      <vt:variant>
        <vt:lpwstr/>
      </vt:variant>
      <vt:variant>
        <vt:i4>852032</vt:i4>
      </vt:variant>
      <vt:variant>
        <vt:i4>3</vt:i4>
      </vt:variant>
      <vt:variant>
        <vt:i4>0</vt:i4>
      </vt:variant>
      <vt:variant>
        <vt:i4>5</vt:i4>
      </vt:variant>
      <vt:variant>
        <vt:lpwstr>https://www.ercot.com/files/docs/2025/11/01/134PGRR-01-Interconnection-Studies-Reform-for-Dispatachable-Loads-110125.docx</vt:lpwstr>
      </vt:variant>
      <vt:variant>
        <vt:lpwstr/>
      </vt:variant>
      <vt:variant>
        <vt:i4>2490370</vt:i4>
      </vt:variant>
      <vt:variant>
        <vt:i4>0</vt:i4>
      </vt:variant>
      <vt:variant>
        <vt:i4>0</vt:i4>
      </vt:variant>
      <vt:variant>
        <vt:i4>5</vt:i4>
      </vt:variant>
      <vt:variant>
        <vt:lpwstr>mailto:asharmafrank@live.com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Cholla Petroleum</cp:lastModifiedBy>
  <cp:revision>4</cp:revision>
  <cp:lastPrinted>2001-06-20T16:28:00Z</cp:lastPrinted>
  <dcterms:created xsi:type="dcterms:W3CDTF">2025-11-04T19:46:00Z</dcterms:created>
  <dcterms:modified xsi:type="dcterms:W3CDTF">2025-11-04T19:50:00Z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2025-11-04T19:49:44Z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1e75158e-781d-44c6-ac1e-6a72e739396f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